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004984"/>
          <w:sz w:val="36"/>
        </w:rPr>
        <w:t>香港金钱服务经营者（MSO）牌照申请注册服务商业报价函</w:t>
      </w:r>
    </w:p>
    <w:p>
      <w:pPr>
        <w:jc w:val="center"/>
      </w:pPr>
      <w:r>
        <w:rPr>
          <w:color w:val="595959"/>
          <w:sz w:val="22"/>
        </w:rPr>
        <w:t>Hong Kong Money Service Operator Licence Application Proposal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59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项目</w:t>
            </w:r>
          </w:p>
        </w:tc>
        <w:tc>
          <w:tcPr>
            <w:tcW w:type="dxa" w:w="748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内容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致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[客户公司名称]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由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仁港永胜（香港）有限公司（Rengangyongsheng (Hong Kong) Limited）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联系人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唐生（唐上永｜Tang Shangyong），业务经理｜合规与监管许可负责人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日期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2026年4月28日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报价编号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RGYS-MSO-20260428-01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项目名称</w:t>
            </w:r>
          </w:p>
        </w:tc>
        <w:tc>
          <w:tcPr>
            <w:tcW w:type="dxa" w:w="748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香港金钱服务经营者（MSO）牌照从零申请注册服务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sz w:val="21"/>
        </w:rPr>
        <w:t>尊敬的客户：感谢贵司考虑委托仁港永胜协助办理香港金钱服务经营者（Money Service Operator，MSO）牌照申请注册服务。根据香港海关金钱服务经营者发牌制度，任何拟在香港以业务形式经营货币兑换服务及/或汇款服务的人士，均须按照《打击洗钱及恐怖分子资金筹集条例》（AMLO，Cap.615）向海关关长申领MSO牌照。仁港永胜将以监管申请实务、AML/CTF合规体系建设、业务计划书撰写、适当人选审查辅导、处所合规及监管问询应对为核心，为贵司提供从零筹备至递交申请及获批上线的全流程专业支持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一、服务范围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23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阶段</w:t>
            </w:r>
          </w:p>
        </w:tc>
        <w:tc>
          <w:tcPr>
            <w:tcW w:type="dxa" w:w="223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服务项目</w:t>
            </w:r>
          </w:p>
        </w:tc>
        <w:tc>
          <w:tcPr>
            <w:tcW w:type="dxa" w:w="576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具体工作内容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立项及申请可行性评估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业务边界及牌照路径确认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梳理贵司拟开展的货币兑换、汇款、跨境收付款、线上/线下渠道及代理安排，判断服务范围是否落入MSO监管范围，并确定申请服务类型及经营模式。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股权及适当人选预审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UBO、董事及关键人员合规预评估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审阅拟申请主体、股东、董事、最终拥有人、资金来源及财富来源初步资料，识别适当人选审查、SoF/SoW、声誉及财务稳健性风险点。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申请文件编制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业务计划书及财务预测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按香港海关申请要求协助撰写业务计划、目标客户、服务流程、交易场景、收费模式、资金流、合作机构、风险控制及财务预测说明。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AML/CTF制度包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合规政策、程序及表格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编制CDD/EDD、持续监控、制裁名单筛查、STR、记录保存、员工培训、独立审查、第三方付款、代理及外包管理等制度文件。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处所及系统支持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处所合规、台账及演示材料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就指定营业处所、档案存放、客户接待、交易记录、筛查系统、报表样例及现场核查要点提供整改建议及演示脚本。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递交及监管沟通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申请递交与RFI补件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协助整理申请表、附件清单及证明文件，并协助处理海关多轮问询、补件、会面、核验、处所视察及系统演示准备。</w:t>
            </w:r>
          </w:p>
        </w:tc>
      </w:tr>
      <w:tr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获批后上线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培训及合规启动</w:t>
            </w:r>
          </w:p>
        </w:tc>
        <w:tc>
          <w:tcPr>
            <w:tcW w:type="dxa" w:w="57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协助建立续牌、变更、申报及内审日历，提供首次员工AML/CTF培训提纲、合规台账模板及上线前自查建议。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二、预计办理周期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在客户资料完整、股权结构清晰、处所及系统配合及时的情况下，香港MSO牌照从零申请通常建议预留约12个月左右。其中，立项与架构方案通常为1至2个月，文件编制、处所与系统落地通常为2至3个月，递交后海关审查、会面、处所核验及RFI回复通常为6至8个月，获批及上线准备约1个月左右。实际周期将视申请主体背景、董事及UBO适当人选审查、资料完整度、监管问询轮次、处所准备程度及香港海关当期处理进度而定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304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阶段</w:t>
            </w:r>
          </w:p>
        </w:tc>
        <w:tc>
          <w:tcPr>
            <w:tcW w:type="dxa" w:w="172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建议周期</w:t>
            </w:r>
          </w:p>
        </w:tc>
        <w:tc>
          <w:tcPr>
            <w:tcW w:type="dxa" w:w="604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说明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立项与架构方案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1至2个月</w:t>
            </w:r>
          </w:p>
        </w:tc>
        <w:tc>
          <w:tcPr>
            <w:tcW w:type="dxa" w:w="60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确认业务边界、申请主体、UBO穿透、处所、人员及外包安排。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文件编制、处所与系统落地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2至3个月</w:t>
            </w:r>
          </w:p>
        </w:tc>
        <w:tc>
          <w:tcPr>
            <w:tcW w:type="dxa" w:w="60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完成业务计划书、AML/CTF制度、财务预测、内部表格、演示脚本及申请附件。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海关审查、会面、处所核验与RFI回复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6至8个月</w:t>
            </w:r>
          </w:p>
        </w:tc>
        <w:tc>
          <w:tcPr>
            <w:tcW w:type="dxa" w:w="60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由香港海关独立审查，期间可能涉及多轮补件、会面、处所核验及能力评核准备。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获批及上线准备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1个月左右</w:t>
            </w:r>
          </w:p>
        </w:tc>
        <w:tc>
          <w:tcPr>
            <w:tcW w:type="dxa" w:w="60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展示牌照、员工培训、建立合规日历、完成银行及合作伙伴合规对接。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三、专业服务费及政府费用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本报价为MSO牌照从零申请注册顾问服务的专业服务费。新申请服务费为HKD 480,000，仅为仁港永胜专业服务费，不包括香港海关政府费用、公司注册/秘书服务、办公室租赁及装修、银行开户费用、IT系统费用、反洗黑钱系统及筛查工具费用、合规主任薪酬、审计、会计、翻译、公证、快递、差旅及其他第三方费用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44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收费项目</w:t>
            </w:r>
          </w:p>
        </w:tc>
        <w:tc>
          <w:tcPr>
            <w:tcW w:type="dxa" w:w="201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金额</w:t>
            </w:r>
          </w:p>
        </w:tc>
        <w:tc>
          <w:tcPr>
            <w:tcW w:type="dxa" w:w="561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说明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仁港永胜专业服务费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480,000</w:t>
            </w:r>
          </w:p>
        </w:tc>
        <w:tc>
          <w:tcPr>
            <w:tcW w:type="dxa" w:w="56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仅服务费，包含本报价函所列MSO从零申请顾问服务、文件编制、RFI补件支持及获批后上线启动辅导；不含政府费用、银行开户费用、IT及反洗黑钱费用、合规主任薪酬、租金及第三方费用。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香港海关政府费用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按实际缴纳</w:t>
            </w:r>
          </w:p>
        </w:tc>
        <w:tc>
          <w:tcPr>
            <w:tcW w:type="dxa" w:w="56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由客户承担并按香港海关最新收费标准缴纳；如由仁港永胜代垫，客户须在付款前预付或实报实销。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第三方费用</w:t>
            </w:r>
          </w:p>
        </w:tc>
        <w:tc>
          <w:tcPr>
            <w:tcW w:type="dxa" w:w="20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按实际发生</w:t>
            </w:r>
          </w:p>
        </w:tc>
        <w:tc>
          <w:tcPr>
            <w:tcW w:type="dxa" w:w="561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包括但不限于公司秘书、会计审计、办公场地、IT系统、银行开户、翻译、公证、法律意见、邮寄及差旅等。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sz w:val="21"/>
        </w:rPr>
        <w:t>除上述仁港永胜专业服务费外，申请人还应预留合规主任、办公处所、银行开户、IT及反洗黑钱系统等运营及落地成本。以下费用为项目预算参考，实际金额需按申请人业务规模、处所标准、系统供应商及人选背景另行确认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2448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其他成本项目</w:t>
            </w:r>
          </w:p>
        </w:tc>
        <w:tc>
          <w:tcPr>
            <w:tcW w:type="dxa" w:w="216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预算口径</w:t>
            </w:r>
          </w:p>
        </w:tc>
        <w:tc>
          <w:tcPr>
            <w:tcW w:type="dxa" w:w="547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说明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合规主任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25,000至40,000/月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具体薪酬需根据人选资历、是否全职、职责范围及客户业务复杂程度洽谈。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房屋/办公室租金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每年不超过HKD 120,000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仁港永胜可根据申请人预算协助寻找合适处所，最终以实际租约及处所合规要求为准。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银行开户费用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按实际发生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包括银行服务费、顾问协助费、见证/认证及银行要求的其他成本。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IT及反洗黑钱费用</w:t>
            </w:r>
          </w:p>
        </w:tc>
        <w:tc>
          <w:tcPr>
            <w:tcW w:type="dxa" w:w="216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按实际发生</w:t>
            </w:r>
          </w:p>
        </w:tc>
        <w:tc>
          <w:tcPr>
            <w:tcW w:type="dxa" w:w="547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包括交易记录系统、客户档案管理、制裁名单筛查、交易监控、数据备份及网络安全等。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2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政府费用项目</w:t>
            </w:r>
          </w:p>
        </w:tc>
        <w:tc>
          <w:tcPr>
            <w:tcW w:type="dxa" w:w="223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2026年5月15日前费用</w:t>
            </w:r>
          </w:p>
        </w:tc>
        <w:tc>
          <w:tcPr>
            <w:tcW w:type="dxa" w:w="2376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2026年5月15日起建议/修订费用</w:t>
            </w:r>
          </w:p>
        </w:tc>
        <w:tc>
          <w:tcPr>
            <w:tcW w:type="dxa" w:w="2952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说明</w:t>
            </w:r>
          </w:p>
        </w:tc>
      </w:tr>
      <w:tr>
        <w:tc>
          <w:tcPr>
            <w:tcW w:type="dxa" w:w="252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申请批给牌照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3,310</w:t>
            </w:r>
          </w:p>
        </w:tc>
        <w:tc>
          <w:tcPr>
            <w:tcW w:type="dxa" w:w="237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3,810</w:t>
            </w:r>
          </w:p>
        </w:tc>
        <w:tc>
          <w:tcPr>
            <w:tcW w:type="dxa" w:w="295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首次申请MSO牌照。</w:t>
            </w:r>
          </w:p>
        </w:tc>
      </w:tr>
      <w:tr>
        <w:tc>
          <w:tcPr>
            <w:tcW w:type="dxa" w:w="252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每多一个营业处所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2,220</w:t>
            </w:r>
          </w:p>
        </w:tc>
        <w:tc>
          <w:tcPr>
            <w:tcW w:type="dxa" w:w="237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2,440</w:t>
            </w:r>
          </w:p>
        </w:tc>
        <w:tc>
          <w:tcPr>
            <w:tcW w:type="dxa" w:w="295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适用于额外营业处所。</w:t>
            </w:r>
          </w:p>
        </w:tc>
      </w:tr>
      <w:tr>
        <w:tc>
          <w:tcPr>
            <w:tcW w:type="dxa" w:w="252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每名适当人选审查人士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860</w:t>
            </w:r>
          </w:p>
        </w:tc>
        <w:tc>
          <w:tcPr>
            <w:tcW w:type="dxa" w:w="237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945</w:t>
            </w:r>
          </w:p>
        </w:tc>
        <w:tc>
          <w:tcPr>
            <w:tcW w:type="dxa" w:w="295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适用于董事、最终拥有人、合伙人等须审查人士。</w:t>
            </w:r>
          </w:p>
        </w:tc>
      </w:tr>
      <w:tr>
        <w:tc>
          <w:tcPr>
            <w:tcW w:type="dxa" w:w="252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续牌申请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790</w:t>
            </w:r>
          </w:p>
        </w:tc>
        <w:tc>
          <w:tcPr>
            <w:tcW w:type="dxa" w:w="237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910</w:t>
            </w:r>
          </w:p>
        </w:tc>
        <w:tc>
          <w:tcPr>
            <w:tcW w:type="dxa" w:w="295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每两年续牌时适用。</w:t>
            </w:r>
          </w:p>
        </w:tc>
      </w:tr>
      <w:tr>
        <w:tc>
          <w:tcPr>
            <w:tcW w:type="dxa" w:w="252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新增营业处所</w:t>
            </w:r>
          </w:p>
        </w:tc>
        <w:tc>
          <w:tcPr>
            <w:tcW w:type="dxa" w:w="223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2,220</w:t>
            </w:r>
          </w:p>
        </w:tc>
        <w:tc>
          <w:tcPr>
            <w:tcW w:type="dxa" w:w="2376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2,440</w:t>
            </w:r>
          </w:p>
        </w:tc>
        <w:tc>
          <w:tcPr>
            <w:tcW w:type="dxa" w:w="2952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持牌后申请加入新处所时适用。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  <w:color w:val="004984"/>
        </w:rPr>
        <w:t>四、付款条件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180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付款节点</w:t>
            </w:r>
          </w:p>
        </w:tc>
        <w:tc>
          <w:tcPr>
            <w:tcW w:type="dxa" w:w="108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比例</w:t>
            </w:r>
          </w:p>
        </w:tc>
        <w:tc>
          <w:tcPr>
            <w:tcW w:type="dxa" w:w="180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金额</w:t>
            </w:r>
          </w:p>
        </w:tc>
        <w:tc>
          <w:tcPr>
            <w:tcW w:type="dxa" w:w="5400"/>
            <w:shd w:fill="004984"/>
            <w:vAlign w:val="center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</w:rPr>
              <w:t>付款条件</w:t>
            </w:r>
          </w:p>
        </w:tc>
      </w:tr>
      <w:tr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首期款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50%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240,000</w:t>
            </w:r>
          </w:p>
        </w:tc>
        <w:tc>
          <w:tcPr>
            <w:tcW w:type="dxa" w:w="54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双方签署服务协议后3个工作日内支付，作为项目启动、立项预审及文件编制启动费用。</w:t>
            </w:r>
          </w:p>
        </w:tc>
      </w:tr>
      <w:tr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第二期款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30%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144,000</w:t>
            </w:r>
          </w:p>
        </w:tc>
        <w:tc>
          <w:tcPr>
            <w:tcW w:type="dxa" w:w="54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业务计划书、AML/CTF制度包及主要申请文件基本完成，并准备正式递交香港海关前支付。</w:t>
            </w:r>
          </w:p>
        </w:tc>
      </w:tr>
      <w:tr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尾款</w:t>
            </w:r>
          </w:p>
        </w:tc>
        <w:tc>
          <w:tcPr>
            <w:tcW w:type="dxa" w:w="108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20%</w:t>
            </w:r>
          </w:p>
        </w:tc>
        <w:tc>
          <w:tcPr>
            <w:tcW w:type="dxa" w:w="18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HKD 96,000</w:t>
            </w:r>
          </w:p>
        </w:tc>
        <w:tc>
          <w:tcPr>
            <w:tcW w:type="dxa" w:w="5400"/>
            <w:vAlign w:val="top"/>
          </w:tcPr>
          <w:p>
            <w:r/>
            <w:r>
              <w:rPr>
                <w:rFonts w:ascii="Microsoft YaHei" w:hAnsi="Microsoft YaHei" w:eastAsia="Microsoft YaHei"/>
                <w:b w:val="0"/>
              </w:rPr>
              <w:t>海关发出原则性批准、正式批准或进入最终获批交付阶段时支付；尾款付清后移交最终版文件包及上线支持资料。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sz w:val="21"/>
        </w:rPr>
        <w:t>如客户因自身原因暂停、撤回申请或未能及时提供真实、完整、有效资料，已完成阶段对应费用不予退还。如申请因监管独立判断、客户背景、资金来源、处所、业务模式、资料真实性、适当人选审查或其他非仁港永胜可控制因素未获批准，仁港永胜不承担监管审批结果保证责任，但将按已签服务协议约定尽职协助客户进行解释、补件及整改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五、客户需配合提供的主要资料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贵司需配合提供公司注册资料、股东及董事资料、最终拥有人资料、组织架构图、资金来源及财富来源说明、业务模式说明、预计客户类型及交易场景、银行及合作伙伴资料、拟经营处所资料、IT系统及记录保存安排、关键人员履历、过往监管及刑事记录声明、财务预算及其他香港海关可能要求的证明文件。仁港永胜将根据项目进度向贵司发送详细资料清单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六、报价有效期及保密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本报价自出具日起14日内有效。本函及附件所载内容仅供贵司内部评估、采购审批及CDD用途，未经仁港永胜书面同意，不得向与本项目无关的第三方披露。正式服务内容、付款安排、责任边界及保密义务，以双方最终签署的服务协议为准。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七、声明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仁港永胜作为专业合规咨询服务商，负责协助客户准备牌照申请材料、建立合规体系、梳理业务结构并应对监管问询；香港MSO牌照的审批权归香港海关及相关主管机关，任何申请结果均以监管机构最终决定为准。本报价函不构成法律意见、监管批准承诺或财务承诺。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此致</w:t>
        <w:br/>
        <w:t>敬礼</w:t>
        <w:br/>
        <w:br/>
        <w:t>仁港永胜（香港）有限公司</w:t>
        <w:br/>
        <w:t>Rengangyongsheng (Hong Kong) Limited</w:t>
        <w:br/>
        <w:br/>
        <w:t>唐生（唐上永｜Tang Shangyong）</w:t>
        <w:br/>
        <w:t>业务经理｜合规与监管许可负责人</w:t>
        <w:br/>
        <w:t>WhatsApp：+852 9298 4213</w:t>
        <w:br/>
        <w:t>微信：+86 159 2000 2080</w:t>
        <w:br/>
        <w:t>邮箱：Drew@cnjrp.com</w:t>
        <w:br/>
        <w:t>官网：https://www.jrp-hk.com/</w:t>
      </w:r>
    </w:p>
    <w:p>
      <w:pPr>
        <w:pStyle w:val="Heading1"/>
      </w:pPr>
      <w:r>
        <w:rPr>
          <w:rFonts w:ascii="Microsoft YaHei" w:hAnsi="Microsoft YaHei" w:eastAsia="Microsoft YaHei"/>
          <w:color w:val="004984"/>
        </w:rPr>
        <w:t>监管参考</w:t>
      </w:r>
    </w:p>
    <w:p>
      <w:pPr>
        <w:spacing w:after="120"/>
      </w:pPr>
      <w:r>
        <w:rPr>
          <w:rFonts w:ascii="Microsoft YaHei" w:hAnsi="Microsoft YaHei" w:eastAsia="Microsoft YaHei"/>
          <w:sz w:val="21"/>
        </w:rPr>
        <w:t>香港海关金钱服务经营者牌照系统、香港海关MSO监管页面、香港海关申请费用PDF，以及立法会《建议调整〈打击洗钱及恐怖分子资金筹集条例〉附表3所订明的费用》资料文件。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93" w:right="936" w:bottom="893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仁港永胜（香港）有限公司 | 86/F, International Commerce Centre, 1 Austin Road West, Kowloon, Hong Kong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Microsoft YaHei" w:hAnsi="Microsoft YaHei" w:eastAsia="Microsoft YaHei"/>
        <w:b/>
        <w:color w:val="004984"/>
        <w:sz w:val="28"/>
      </w:rPr>
      <w:t>仁港永胜（香港）有限公司</w:t>
      <w:br/>
      <w:t>Rengangyongsheng (Hong Kong) Limited</w:t>
    </w:r>
  </w:p>
  <w:p>
    <w:pPr>
      <w:jc w:val="center"/>
    </w:pPr>
    <w:r>
      <w:rPr>
        <w:color w:val="595959"/>
        <w:sz w:val="17"/>
      </w:rPr>
      <w:t>Your Trusted Compliance Partner | www.jrp-hk.com | WhatsApp: +852 9298 4213 | Email: Drew@cnjrp.com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