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04984"/>
          <w:sz w:val="36"/>
        </w:rPr>
        <w:t>香港MSO持牌公司收购付款条件及合同签署流程说明</w:t>
      </w:r>
    </w:p>
    <w:p>
      <w:pPr>
        <w:jc w:val="center"/>
      </w:pPr>
      <w:r>
        <w:rPr>
          <w:color w:val="595959"/>
          <w:sz w:val="22"/>
        </w:rPr>
        <w:t>供收购香港金钱服务经营者持牌公司项目参考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香港MSO牌照本身原则上并非可以像普通资产一样直接转让给第三方。实务中，客户如希望“购买MSO牌照”，通常是通过收购已持牌MSO公司的股权实现，同时需要处理董事、最终拥有人、营业处所、业务模式及合规制度等相关变更事项。收购前必须对目标公司进行充分法律、财务及合规尽职调查，并确认该公司是否存在纪律处分、客户投诉、可疑交易处理缺陷、未完成监管问询、历史税务或债务风险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一、现成MSO持牌公司预估收购价格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59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收购类型</w:t>
            </w:r>
          </w:p>
        </w:tc>
        <w:tc>
          <w:tcPr>
            <w:tcW w:type="dxa" w:w="259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预估价格区间</w:t>
            </w:r>
          </w:p>
        </w:tc>
        <w:tc>
          <w:tcPr>
            <w:tcW w:type="dxa" w:w="489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说明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仅找换业务MSO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1,500,000至2,500,000</w:t>
            </w:r>
          </w:p>
        </w:tc>
        <w:tc>
          <w:tcPr>
            <w:tcW w:type="dxa" w:w="489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适用于主要经营货币兑换/找换业务的持牌公司，具体价格取决于牌照年期、处所、银行账户、历史合规记录及卖方条件。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找换 + 汇款业务MSO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3,500,000至4,500,000</w:t>
            </w:r>
          </w:p>
        </w:tc>
        <w:tc>
          <w:tcPr>
            <w:tcW w:type="dxa" w:w="489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适用于同时具备找换及汇款业务能力的持牌公司，通常交易价格高于单一找换业务，需重点核查历史交易、客户档案、银行账户及AML/CTF执行情况。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sz w:val="21"/>
        </w:rPr>
        <w:t>上述价格为现成MSO持牌公司市场沟通的预估区间，并非固定成交价。最终交易价格应以目标公司质量、卖方急售程度、银行账户状态、是否有客户及系统、历史合规风险、税务债务及买卖双方谈判结果为准。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二、标准交易流程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158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阶段</w:t>
            </w:r>
          </w:p>
        </w:tc>
        <w:tc>
          <w:tcPr>
            <w:tcW w:type="dxa" w:w="302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文件及动作</w:t>
            </w:r>
          </w:p>
        </w:tc>
        <w:tc>
          <w:tcPr>
            <w:tcW w:type="dxa" w:w="273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付款安排建议</w:t>
            </w:r>
          </w:p>
        </w:tc>
        <w:tc>
          <w:tcPr>
            <w:tcW w:type="dxa" w:w="273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关键风险控制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初步接洽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签署NDA，买方提供KYC资料及收购意向，仁港永胜协助筛选目标牌照公司。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买方向仁港永胜支付项目启动/顾问定金，金额按个案另议。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先确认买方背景、资金来源、收购目的及是否具备适当人选条件。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锁定目标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签署意向书或MOU，列明目标公司、牌照状态、交易价格、排他期、尽调范围及退出条件。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可支付锁牌订金，通常为交易价的5%至10%，建议采用律师托管、共管账户或明确退款条件。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订金是否可退必须写清楚，尤其要区分目标公司重大瑕疵、卖方违约与买方单方退出。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尽职调查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审查牌照登记、公司档案、财务税务、银行账户、客户档案、交易记录、AML/CTF制度、员工及租约等。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尽调通过后支付第二笔款项或进入正式SPA签署阶段，比例按交易谈判确定。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必须核查是否有未披露负债、历史违规、客户资金争议、监管调查或合规体系缺口。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正式签约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签署SPA、董事会/股东决议、转股文件、交割清单、陈述保证及赔偿条款。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通常在SPA签署或交割时支付交易价40%至70%；余款可与监管变更、银行账户交接或文件交割挂钩。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SPA应列明先决条件、监管变更责任、卖方陈述保证、违约赔偿、历史责任承担及交割后协助义务。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监管及公司变更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根据实际安排向香港海关提交董事、最终拥有人、营业处所或其他变更/批准申请，并同步处理公司注册处、商业登记及银行授权变更。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可保留交易价10%至20%作为尾款，在完成关键交割、资料移交或监管变更节点后释放。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新股东、董事及UBO仍须通过适当人选审查；任何变更须按香港海关要求合规申报或申请批准。</w:t>
            </w:r>
          </w:p>
        </w:tc>
      </w:tr>
      <w:tr>
        <w:tc>
          <w:tcPr>
            <w:tcW w:type="dxa" w:w="158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交割后整改</w:t>
            </w:r>
          </w:p>
        </w:tc>
        <w:tc>
          <w:tcPr>
            <w:tcW w:type="dxa" w:w="302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整合业务计划、AML/CTF制度、员工培训、客户档案、交易监控、STR流程及合规台账。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仁港永胜可另行提供交割后合规整改及续牌服务。</w:t>
            </w:r>
          </w:p>
        </w:tc>
        <w:tc>
          <w:tcPr>
            <w:tcW w:type="dxa" w:w="273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收购后买方可能承接目标公司过往合规责任，应在交割后尽快完成独立合规审查。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三、合同文件清单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59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文件</w:t>
            </w:r>
          </w:p>
        </w:tc>
        <w:tc>
          <w:tcPr>
            <w:tcW w:type="dxa" w:w="460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用途</w:t>
            </w:r>
          </w:p>
        </w:tc>
        <w:tc>
          <w:tcPr>
            <w:tcW w:type="dxa" w:w="288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备注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保密协议（NDA）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保护买卖双方身份、牌照资料、客户资料及交易条件。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建议在交换目标公司资料前签署。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顾问服务协议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确定仁港永胜的服务范围、费用、付款节点、保密义务及责任边界。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适用于买方委托仁港永胜寻找牌照、尽调、谈判及变更支持。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意向书/MOU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锁定交易框架、排他期、订金、尽调范围及退出机制。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不建议只口头锁定，应书面化关键条款。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尽职调查清单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明确卖方须提供的公司、牌照、财务、税务、银行、客户、交易及合规资料。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尽调不完整不建议进入正式交割。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股权买卖协议（SPA）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约定交易价格、交割条件、付款安排、陈述保证、赔偿及违约责任。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应由香港律师或专业顾问审阅。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公司交割文件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包括董事会决议、转股文书、买卖单据、股东名册更新、董事任免文件等。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需与香港公司注册处及公司秘书流程配合。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海关变更/批准文件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涉及董事、最终拥有人、合伙人、营业处所或牌照条件变更。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具体表格及审批要求以香港海关最新规定为准。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交割清单及移交确认书</w:t>
            </w:r>
          </w:p>
        </w:tc>
        <w:tc>
          <w:tcPr>
            <w:tcW w:type="dxa" w:w="460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列明印章、牌照正本、系统账号、银行资料、客户档案、合规记录等交接内容。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建议作为尾款释放条件之一。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四、付款条件建议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对于MSO持牌公司收购，仁港永胜建议采用“分阶段付款 + 条件释放 + 明确退款规则”的方式，以兼顾卖方锁牌需求及买方风险控制。现阶段可按两类资产进行初步预算：仅找换MSO预估HKD 150万至250万左右，找换加汇款MSO预估HKD 350万至450万左右。常见付款安排为：签署MOU时支付5%至10%锁牌订金；尽调通过并签署SPA时支付40%至60%；完成股权交割、公司文件移交及银行授权变更时支付20%至40%；余下10%至20%可在完成关键监管变更、合规整改或约定交割后义务后释放。若交易金额较大，建议使用律师托管账户、共管账户或第三方escrow安排。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仁港永胜作为顾问的服务费应与目标公司交易价区分。顾问服务费通常按项目启动、目标锁定/尽调、正式签约/交割、监管变更支持等节点收取。目标公司股权转让价款则由买卖双方根据SPA直接约定。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五、特别风险提示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MSO持牌公司收购并不等同于监管机构自动认可新股东、新董事或新最终拥有人。买方及其控制人仍须满足适当人选、资金来源、业务计划、处所、AML/CTF制度及持续合规要求。若目标公司过往存在客户档案缺失、交易记录不完整、可疑交易处理不足、未申报变更、税务债务或监管调查，买方可能在收购后承担相应风险。因此，收购前尽调、SPA陈述保证及交割后合规整改是整个交易的核心。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唐生建议：若客户时间紧、已有明确经营计划并能接受历史责任尽调成本，可考虑收购持牌MSO公司；若客户希望从一开始建立干净主体、业务计划及合规制度，则从零申请更适合长期稳健经营。两种路径没有绝对优劣，关键在于客户背景、资金来源、业务落地时间、预算、合规承受能力及目标公司质量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93" w:right="936" w:bottom="893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仁港永胜（香港）有限公司 | 86/F, International Commerce Centre, 1 Austin Road West, Kowloon, Hong Kong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Microsoft YaHei" w:hAnsi="Microsoft YaHei" w:eastAsia="Microsoft YaHei"/>
        <w:b/>
        <w:color w:val="004984"/>
        <w:sz w:val="28"/>
      </w:rPr>
      <w:t>仁港永胜（香港）有限公司</w:t>
      <w:br/>
      <w:t>Rengangyongsheng (Hong Kong) Limited</w:t>
    </w:r>
  </w:p>
  <w:p>
    <w:pPr>
      <w:jc w:val="center"/>
    </w:pPr>
    <w:r>
      <w:rPr>
        <w:color w:val="595959"/>
        <w:sz w:val="17"/>
      </w:rPr>
      <w:t>Your Trusted Compliance Partner | www.jrp-hk.com | WhatsApp: +852 9298 4213 | Email: Drew@cnjrp.com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